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证券代码：000881                证券简称：中广核技                公告编号：</w:t>
      </w:r>
      <w:r>
        <w:rPr>
          <w:rFonts w:hint="default" w:ascii="Times New Roman" w:hAnsi="Times New Roman" w:eastAsia="宋体" w:cs="Times New Roman"/>
          <w:sz w:val="21"/>
          <w:szCs w:val="21"/>
          <w:lang w:val="en-US" w:eastAsia="zh-CN"/>
        </w:rPr>
        <w:t>2025-042</w:t>
      </w:r>
    </w:p>
    <w:p>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中广核核技术发展股份有限公司</w:t>
      </w:r>
    </w:p>
    <w:p>
      <w:pPr>
        <w:spacing w:before="0" w:after="1000" w:line="400" w:lineRule="exact"/>
        <w:jc w:val="center"/>
        <w:rPr>
          <w:rFonts w:ascii="宋体" w:hAnsi="宋体" w:eastAsia="宋体" w:cs="宋体"/>
          <w:b/>
          <w:bCs/>
          <w:sz w:val="36"/>
          <w:szCs w:val="36"/>
        </w:rPr>
      </w:pPr>
      <w:r>
        <w:rPr>
          <w:rFonts w:hint="default" w:ascii="Times New Roman" w:hAnsi="Times New Roman" w:eastAsia="宋体" w:cs="Times New Roman"/>
          <w:b/>
          <w:bCs/>
          <w:sz w:val="36"/>
          <w:szCs w:val="36"/>
        </w:rPr>
        <w:t>2025</w:t>
      </w:r>
      <w:r>
        <w:rPr>
          <w:rFonts w:ascii="宋体" w:hAnsi="宋体" w:eastAsia="宋体" w:cs="宋体"/>
          <w:b/>
          <w:bCs/>
          <w:sz w:val="36"/>
          <w:szCs w:val="36"/>
        </w:rPr>
        <w:t>年半年度报告摘要</w:t>
      </w:r>
    </w:p>
    <w:p>
      <w:r>
        <w:br w:type="page"/>
      </w:r>
    </w:p>
    <w:p>
      <w:pPr>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本半年度报告摘要来自半年度报告全文，为全面了解本公司的经营成果、财务状况及未来发展规划，投资者应当到证监会指定媒体仔细阅读半年度报告全文。</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所有董事均已出席了审议本报告的董事会会议。</w:t>
      </w:r>
    </w:p>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非标准审计意见提示</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100" w:after="40" w:line="360" w:lineRule="auto"/>
        <w:jc w:val="left"/>
        <w:textAlignment w:val="auto"/>
        <w:rPr>
          <w:rFonts w:ascii="宋体" w:hAnsi="宋体" w:eastAsia="宋体" w:cs="宋体"/>
          <w:sz w:val="21"/>
          <w:szCs w:val="21"/>
        </w:rPr>
      </w:pPr>
      <w:r>
        <w:rPr>
          <w:rFonts w:ascii="宋体" w:hAnsi="宋体" w:eastAsia="宋体" w:cs="宋体"/>
          <w:sz w:val="21"/>
          <w:szCs w:val="21"/>
        </w:rPr>
        <w:t>董事会审议的报告期利润分配预案或公积金转增股本预案</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公司计划不派发现金红利，不送红股，不以公积金转增股本。</w:t>
      </w:r>
    </w:p>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董事会决议通过的本报告期优先股利润分配预案</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pPr>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2142"/>
        <w:gridCol w:w="1071"/>
        <w:gridCol w:w="1071"/>
        <w:gridCol w:w="2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股票简称</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21"/>
                <w:szCs w:val="21"/>
              </w:rPr>
            </w:pPr>
            <w:r>
              <w:rPr>
                <w:rFonts w:ascii="宋体" w:hAnsi="宋体" w:eastAsia="宋体" w:cs="宋体"/>
                <w:sz w:val="21"/>
                <w:szCs w:val="21"/>
              </w:rPr>
              <w:t>中广核技</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股票代码</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21"/>
                <w:szCs w:val="21"/>
              </w:rPr>
            </w:pPr>
            <w:r>
              <w:rPr>
                <w:rFonts w:hint="default" w:ascii="Times New Roman" w:hAnsi="Times New Roman" w:eastAsia="宋体" w:cs="Times New Roman"/>
                <w:sz w:val="21"/>
                <w:szCs w:val="21"/>
              </w:rPr>
              <w:t>000881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股票上市交易所</w:t>
            </w:r>
          </w:p>
        </w:tc>
        <w:tc>
          <w:tcPr>
            <w:tcW w:w="6426"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21"/>
                <w:szCs w:val="21"/>
              </w:rPr>
            </w:pPr>
            <w:r>
              <w:rPr>
                <w:rFonts w:ascii="宋体" w:hAnsi="宋体" w:eastAsia="宋体" w:cs="宋体"/>
                <w:sz w:val="21"/>
                <w:szCs w:val="21"/>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联系人和联系方式</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董事会秘书</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姓名</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21"/>
                <w:szCs w:val="21"/>
              </w:rPr>
            </w:pPr>
            <w:r>
              <w:rPr>
                <w:rFonts w:ascii="宋体" w:hAnsi="宋体" w:eastAsia="宋体" w:cs="宋体"/>
                <w:sz w:val="21"/>
                <w:szCs w:val="21"/>
              </w:rPr>
              <w:t>杨新春</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21"/>
                <w:szCs w:val="21"/>
              </w:rPr>
            </w:pPr>
            <w:r>
              <w:rPr>
                <w:rFonts w:ascii="宋体" w:hAnsi="宋体" w:eastAsia="宋体" w:cs="宋体"/>
                <w:sz w:val="21"/>
                <w:szCs w:val="21"/>
              </w:rPr>
              <w:t>吴卫卫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办公地址</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深圳市福田区深南大道2002号中广核大厦北楼19层</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深圳市福田区深南大道2002号中广核大厦北楼19层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电话</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0755-88619309</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0755-88619309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电子信箱</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yangxinchun@cgnpc.com.cn</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wuweiwei@cgnpc.com.cn</w:t>
            </w:r>
          </w:p>
        </w:tc>
      </w:tr>
    </w:tbl>
    <w:p>
      <w:pPr>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2、主要会计数据和财务指标</w:t>
      </w:r>
      <w:bookmarkEnd w:id="3"/>
    </w:p>
    <w:p>
      <w:pPr>
        <w:spacing w:before="0" w:after="0" w:line="240" w:lineRule="exact"/>
        <w:jc w:val="left"/>
        <w:rPr>
          <w:rFonts w:ascii="宋体" w:hAnsi="宋体" w:eastAsia="宋体" w:cs="宋体"/>
          <w:sz w:val="21"/>
          <w:szCs w:val="21"/>
        </w:rPr>
      </w:pPr>
      <w:r>
        <w:rPr>
          <w:rFonts w:ascii="宋体" w:hAnsi="宋体" w:eastAsia="宋体" w:cs="宋体"/>
          <w:sz w:val="21"/>
          <w:szCs w:val="21"/>
        </w:rPr>
        <w:t>公司是否需追溯调整或重述以前年度会计数据</w:t>
      </w:r>
    </w:p>
    <w:p>
      <w:pPr>
        <w:spacing w:before="40" w:after="40" w:line="240" w:lineRule="exact"/>
        <w:jc w:val="left"/>
        <w:rPr>
          <w:rFonts w:ascii="宋体" w:hAnsi="宋体" w:eastAsia="宋体" w:cs="宋体"/>
          <w:sz w:val="21"/>
          <w:szCs w:val="21"/>
        </w:rPr>
      </w:pPr>
      <w:r>
        <w:rPr>
          <w:rFonts w:ascii="宋体" w:hAnsi="宋体" w:eastAsia="宋体" w:cs="宋体"/>
          <w:sz w:val="21"/>
          <w:szCs w:val="21"/>
        </w:rPr>
        <w:t xml:space="preserve">□是 </w:t>
      </w:r>
      <w:r>
        <w:rPr>
          <w:rFonts w:ascii="宋体" w:hAnsi="宋体" w:eastAsia="宋体" w:cs="宋体"/>
          <w:sz w:val="21"/>
          <w:szCs w:val="21"/>
        </w:rPr>
        <w:sym w:font="Wingdings 2" w:char="F052"/>
      </w:r>
      <w:r>
        <w:rPr>
          <w:rFonts w:ascii="宋体" w:hAnsi="宋体" w:eastAsia="宋体" w:cs="宋体"/>
          <w:sz w:val="21"/>
          <w:szCs w:val="21"/>
        </w:rPr>
        <w:t>否</w:t>
      </w:r>
    </w:p>
    <w:tbl>
      <w:tblPr>
        <w:tblStyle w:val="4"/>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721"/>
        <w:gridCol w:w="2100"/>
        <w:gridCol w:w="2239"/>
        <w:gridCol w:w="15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rPr>
                <w:sz w:val="21"/>
                <w:szCs w:val="21"/>
              </w:rPr>
            </w:pPr>
            <w:bookmarkStart w:id="4" w:name="_Toc988893"/>
          </w:p>
        </w:tc>
        <w:tc>
          <w:tcPr>
            <w:tcW w:w="21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本报告期</w:t>
            </w:r>
          </w:p>
        </w:tc>
        <w:tc>
          <w:tcPr>
            <w:tcW w:w="22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上年同期</w:t>
            </w:r>
          </w:p>
        </w:tc>
        <w:tc>
          <w:tcPr>
            <w:tcW w:w="15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营业收入（元）</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2,593,285,570.21</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2,827,618,524.81</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i w:val="0"/>
                <w:iCs w:val="0"/>
                <w:color w:val="auto"/>
                <w:kern w:val="0"/>
                <w:sz w:val="21"/>
                <w:szCs w:val="21"/>
                <w:u w:val="none"/>
                <w:lang w:val="en-US" w:eastAsia="zh-CN" w:bidi="ar"/>
              </w:rPr>
              <w:t>-8.29%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归属于上市公司股东的净利润（元）</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-99,815,277.67</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-86,577,822.95</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归属于上市公司股东的扣除非经常性损益的净利润（元）</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-114,133,401.79</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-131,470,835.53</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cs="Times New Roman"/>
                <w:sz w:val="21"/>
                <w:szCs w:val="21"/>
                <w:lang w:val="en-US" w:eastAsia="zh-CN"/>
              </w:rPr>
              <w:t>3</w:t>
            </w:r>
            <w:r>
              <w:rPr>
                <w:rFonts w:hint="default" w:ascii="Times New Roman" w:hAnsi="Times New Roman" w:eastAsia="宋体" w:cs="Times New Roman"/>
                <w:sz w:val="21"/>
                <w:szCs w:val="21"/>
              </w:rPr>
              <w:t>.</w:t>
            </w:r>
            <w:r>
              <w:rPr>
                <w:rFonts w:hint="eastAsia" w:cs="Times New Roman"/>
                <w:sz w:val="21"/>
                <w:szCs w:val="21"/>
                <w:lang w:val="en-US" w:eastAsia="zh-CN"/>
              </w:rPr>
              <w:t>19</w:t>
            </w:r>
            <w:r>
              <w:rPr>
                <w:rFonts w:hint="default" w:ascii="Times New Roman" w:hAnsi="Times New Roman" w:eastAsia="宋体" w:cs="Times New Roman"/>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经营活动产生的现金流量净额（元）</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-55,116,972.67</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114,323,633.95</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基本每股收益（元/股）</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-0.1056</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-0.0916</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稀释每股收益（元/股）</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-0.1056</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-0.0916</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加权平均净资产收益率</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-1.93%</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-1.56%</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下降</w:t>
            </w:r>
            <w:r>
              <w:rPr>
                <w:rFonts w:hint="default" w:ascii="Times New Roman" w:hAnsi="Times New Roman" w:eastAsia="宋体" w:cs="Times New Roman"/>
                <w:sz w:val="21"/>
                <w:szCs w:val="21"/>
              </w:rPr>
              <w:t>0.37</w:t>
            </w:r>
            <w:r>
              <w:rPr>
                <w:rFonts w:hint="eastAsia" w:cs="Times New Roman"/>
                <w:sz w:val="21"/>
                <w:szCs w:val="21"/>
                <w:lang w:val="en-US" w:eastAsia="zh-CN"/>
              </w:rPr>
              <w:t>个百分点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rPr>
                <w:sz w:val="21"/>
                <w:szCs w:val="21"/>
              </w:rPr>
            </w:pPr>
          </w:p>
        </w:tc>
        <w:tc>
          <w:tcPr>
            <w:tcW w:w="21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本报告期末</w:t>
            </w:r>
          </w:p>
        </w:tc>
        <w:tc>
          <w:tcPr>
            <w:tcW w:w="22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上年度末</w:t>
            </w:r>
          </w:p>
        </w:tc>
        <w:tc>
          <w:tcPr>
            <w:tcW w:w="15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总资产（元）</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10,689,000,630.68</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10,702,263,483.90</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7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归属于上市公司股东的净资产（元）</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5,133,880,481.67</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5,230,122,212.51</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-1.84%</w:t>
            </w:r>
          </w:p>
        </w:tc>
      </w:tr>
    </w:tbl>
    <w:p>
      <w:pPr>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3、公司股东数量及持股情况</w:t>
      </w:r>
      <w:bookmarkEnd w:id="4"/>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58,525</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报告期末表决权恢复的优先股股东总数（如有）</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持股5%以上的股东或前10名股东持股情况（不含通过转融通出借股份）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中广核核技术应用有限公司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271,070,498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28,558,024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242,512,474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中国大连国际经济技术合作集团有限公司</w:t>
            </w:r>
          </w:p>
        </w:tc>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12.58%</w:t>
            </w:r>
          </w:p>
        </w:tc>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118,914,273</w:t>
            </w:r>
          </w:p>
        </w:tc>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62,141,491</w:t>
            </w:r>
          </w:p>
        </w:tc>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56,772,782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118,914,273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中国大连国际经济技术合作集团有限公司</w:t>
            </w: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12.58%</w:t>
            </w: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118,914,273</w:t>
            </w: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62,141,491</w:t>
            </w: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56,772,782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118,527,046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陈晓敏</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w:t>
            </w:r>
            <w:r>
              <w:rPr>
                <w:rFonts w:hint="eastAsia" w:cs="Times New Roman"/>
                <w:sz w:val="18"/>
                <w:szCs w:val="18"/>
                <w:lang w:val="en-US" w:eastAsia="zh-CN"/>
              </w:rPr>
              <w:t>,</w:t>
            </w:r>
            <w:r>
              <w:rPr>
                <w:rFonts w:hint="default" w:ascii="Times New Roman" w:hAnsi="Times New Roman" w:eastAsia="宋体" w:cs="Times New Roman"/>
                <w:sz w:val="18"/>
                <w:szCs w:val="18"/>
              </w:rPr>
              <w:t>063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11,469,623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29,310,377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芜湖渝宾投资中心（有限合伙）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14,340,344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14,340,344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中广核资本控股有限公司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12,557,084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12,557,084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江苏达胜热缩材料有限公司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11,195,375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r>
              <w:rPr>
                <w:rFonts w:hint="eastAsia" w:cs="Times New Roman"/>
                <w:sz w:val="18"/>
                <w:szCs w:val="18"/>
                <w:lang w:val="en-US" w:eastAsia="zh-CN"/>
              </w:rPr>
              <w:t>,</w:t>
            </w:r>
            <w:r>
              <w:rPr>
                <w:rFonts w:hint="default" w:ascii="Times New Roman" w:hAnsi="Times New Roman" w:eastAsia="宋体" w:cs="Times New Roman"/>
                <w:sz w:val="18"/>
                <w:szCs w:val="18"/>
              </w:rPr>
              <w:t>000</w:t>
            </w:r>
            <w:r>
              <w:rPr>
                <w:rFonts w:hint="eastAsia" w:cs="Times New Roman"/>
                <w:sz w:val="18"/>
                <w:szCs w:val="18"/>
                <w:lang w:val="en-US" w:eastAsia="zh-CN"/>
              </w:rPr>
              <w:t>,</w:t>
            </w:r>
            <w:r>
              <w:rPr>
                <w:rFonts w:hint="default" w:ascii="Times New Roman" w:hAnsi="Times New Roman" w:eastAsia="宋体" w:cs="Times New Roman"/>
                <w:sz w:val="18"/>
                <w:szCs w:val="18"/>
              </w:rPr>
              <w:t>375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11,195,375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魏建良</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6,226,378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6,226,378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香港中央结算有限公司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5,763,576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r>
              <w:rPr>
                <w:rFonts w:hint="eastAsia" w:cs="Times New Roman"/>
                <w:sz w:val="18"/>
                <w:szCs w:val="18"/>
                <w:lang w:val="en-US" w:eastAsia="zh-CN"/>
              </w:rPr>
              <w:t>,</w:t>
            </w:r>
            <w:r>
              <w:rPr>
                <w:rFonts w:hint="default" w:ascii="Times New Roman" w:hAnsi="Times New Roman" w:eastAsia="宋体" w:cs="Times New Roman"/>
                <w:sz w:val="18"/>
                <w:szCs w:val="18"/>
              </w:rPr>
              <w:t>767</w:t>
            </w:r>
            <w:r>
              <w:rPr>
                <w:rFonts w:hint="eastAsia" w:cs="Times New Roman"/>
                <w:sz w:val="18"/>
                <w:szCs w:val="18"/>
                <w:lang w:val="en-US" w:eastAsia="zh-CN"/>
              </w:rPr>
              <w:t>,</w:t>
            </w:r>
            <w:r>
              <w:rPr>
                <w:rFonts w:hint="default" w:ascii="Times New Roman" w:hAnsi="Times New Roman" w:eastAsia="宋体" w:cs="Times New Roman"/>
                <w:sz w:val="18"/>
                <w:szCs w:val="18"/>
              </w:rPr>
              <w:t>571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5,763,576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陈林</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5,616,056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w:t>
            </w:r>
            <w:r>
              <w:rPr>
                <w:rFonts w:hint="eastAsia" w:cs="Times New Roman"/>
                <w:sz w:val="18"/>
                <w:szCs w:val="18"/>
                <w:lang w:val="en-US" w:eastAsia="zh-CN"/>
              </w:rPr>
              <w:t>,</w:t>
            </w:r>
            <w:r>
              <w:rPr>
                <w:rFonts w:hint="default" w:ascii="Times New Roman" w:hAnsi="Times New Roman" w:eastAsia="宋体" w:cs="Times New Roman"/>
                <w:sz w:val="18"/>
                <w:szCs w:val="18"/>
              </w:rPr>
              <w:t>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1,858,688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3,757,368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招商银行股份有限公司－南方中证1000交易型开放式指数证券投资基金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5,236,300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593</w:t>
            </w:r>
            <w:r>
              <w:rPr>
                <w:rFonts w:hint="eastAsia" w:cs="Times New Roman"/>
                <w:sz w:val="18"/>
                <w:szCs w:val="18"/>
                <w:lang w:val="en-US" w:eastAsia="zh-CN"/>
              </w:rPr>
              <w:t>,</w:t>
            </w:r>
            <w:r>
              <w:rPr>
                <w:rFonts w:hint="default" w:ascii="Times New Roman" w:hAnsi="Times New Roman" w:eastAsia="宋体" w:cs="Times New Roman"/>
                <w:sz w:val="18"/>
                <w:szCs w:val="18"/>
              </w:rPr>
              <w:t>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5,236,300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战略投资者或一般法人因配售新股成为前10名股东的情况（如有）</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截至2025年6月30日，中广核资本控股有限公司系控股股东中广核核技术应用有限公司一致行动人。公司未知其他前10名普通股股东之间是否存在关联关系或一致行动人的情形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前10名股东中存在回购专户的特别说明（如有）</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r>
    </w:tbl>
    <w:p>
      <w:pPr>
        <w:spacing w:before="100" w:after="100" w:line="240" w:lineRule="exact"/>
        <w:jc w:val="left"/>
        <w:rPr>
          <w:rFonts w:ascii="宋体" w:hAnsi="宋体" w:eastAsia="宋体" w:cs="宋体"/>
          <w:sz w:val="21"/>
          <w:szCs w:val="21"/>
        </w:rPr>
      </w:pPr>
      <w:r>
        <w:rPr>
          <w:rFonts w:ascii="宋体" w:hAnsi="宋体" w:eastAsia="宋体" w:cs="宋体"/>
          <w:sz w:val="21"/>
          <w:szCs w:val="21"/>
        </w:rPr>
        <w:t>持股5%以上股东、前10名股东及前10名无限售流通股股东参与转融通业务出借股份情况</w:t>
      </w:r>
    </w:p>
    <w:p>
      <w:pPr>
        <w:spacing w:before="0" w:after="0" w:line="240" w:lineRule="exact"/>
        <w:jc w:val="left"/>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spacing w:before="100" w:after="100" w:line="240" w:lineRule="exact"/>
        <w:jc w:val="left"/>
        <w:rPr>
          <w:rFonts w:ascii="宋体" w:hAnsi="宋体" w:eastAsia="宋体" w:cs="宋体"/>
          <w:sz w:val="21"/>
          <w:szCs w:val="21"/>
        </w:rPr>
      </w:pPr>
      <w:r>
        <w:rPr>
          <w:rFonts w:ascii="宋体" w:hAnsi="宋体" w:eastAsia="宋体" w:cs="宋体"/>
          <w:sz w:val="21"/>
          <w:szCs w:val="21"/>
        </w:rPr>
        <w:t>前10名股东及前10名无限售流通股股东因转融通出借/归还原因导致较上期发生变化</w:t>
      </w:r>
    </w:p>
    <w:p>
      <w:pPr>
        <w:spacing w:before="0" w:after="0" w:line="240" w:lineRule="exact"/>
        <w:jc w:val="left"/>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4、控股股东或实际控制人变更情况</w:t>
      </w:r>
      <w:bookmarkEnd w:id="5"/>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控股股东报告期内变更</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公司报告期控股股东未发生变更。</w:t>
      </w:r>
    </w:p>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实际控制人报告期内变更</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公司报告期实际控制人未发生变更。</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5、公司优先股股东总数及前10名优先股股东持股情况表</w:t>
      </w:r>
      <w:bookmarkEnd w:id="6"/>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公司报告期无优先股股东持股情况。</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6、在半年度报告批准报出日存续的债券情况</w:t>
      </w:r>
      <w:bookmarkEnd w:id="7"/>
    </w:p>
    <w:p>
      <w:pPr>
        <w:spacing w:before="40" w:after="40" w:line="240" w:lineRule="exact"/>
        <w:jc w:val="left"/>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三、重要事项</w:t>
      </w:r>
      <w:bookmarkEnd w:id="8"/>
    </w:p>
    <w:p>
      <w:pPr>
        <w:pStyle w:val="3"/>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cs="宋体"/>
          <w:sz w:val="21"/>
          <w:szCs w:val="21"/>
          <w:lang w:val="en-US" w:eastAsia="zh-CN"/>
        </w:rPr>
        <w:t>无</w:t>
      </w:r>
    </w:p>
    <w:p>
      <w:pPr>
        <w:snapToGrid w:val="0"/>
        <w:spacing w:line="360" w:lineRule="auto"/>
        <w:ind w:firstLine="480" w:firstLineChars="200"/>
        <w:jc w:val="right"/>
        <w:rPr>
          <w:rFonts w:eastAsia="宋体"/>
          <w:b/>
          <w:sz w:val="24"/>
          <w:szCs w:val="24"/>
        </w:rPr>
      </w:pPr>
      <w:r>
        <w:rPr>
          <w:rFonts w:eastAsia="宋体"/>
          <w:b/>
          <w:sz w:val="24"/>
          <w:szCs w:val="24"/>
        </w:rPr>
        <w:t>中广核核技术发展股份有限公司</w:t>
      </w:r>
    </w:p>
    <w:p>
      <w:pPr>
        <w:snapToGrid w:val="0"/>
        <w:spacing w:line="360" w:lineRule="auto"/>
        <w:ind w:firstLine="480" w:firstLineChars="200"/>
        <w:jc w:val="right"/>
        <w:rPr>
          <w:rFonts w:eastAsia="宋体"/>
          <w:b/>
          <w:sz w:val="24"/>
          <w:szCs w:val="24"/>
        </w:rPr>
      </w:pPr>
      <w:r>
        <w:rPr>
          <w:rFonts w:eastAsia="宋体"/>
          <w:b/>
          <w:sz w:val="24"/>
          <w:szCs w:val="24"/>
        </w:rPr>
        <w:t>董事会</w:t>
      </w:r>
    </w:p>
    <w:p>
      <w:pPr>
        <w:snapToGrid w:val="0"/>
        <w:spacing w:line="360" w:lineRule="auto"/>
        <w:ind w:firstLine="480" w:firstLineChars="200"/>
        <w:jc w:val="right"/>
        <w:rPr>
          <w:rFonts w:hint="eastAsia" w:ascii="宋体" w:hAnsi="宋体" w:eastAsia="宋体" w:cs="宋体"/>
          <w:sz w:val="18"/>
          <w:szCs w:val="18"/>
        </w:rPr>
      </w:pPr>
      <w:r>
        <w:rPr>
          <w:rFonts w:eastAsia="宋体"/>
          <w:b/>
          <w:sz w:val="24"/>
          <w:szCs w:val="24"/>
        </w:rPr>
        <w:t>202</w:t>
      </w:r>
      <w:r>
        <w:rPr>
          <w:rFonts w:hint="eastAsia" w:eastAsia="宋体"/>
          <w:b/>
          <w:sz w:val="24"/>
          <w:szCs w:val="24"/>
        </w:rPr>
        <w:t>5</w:t>
      </w:r>
      <w:r>
        <w:rPr>
          <w:rFonts w:eastAsia="宋体"/>
          <w:b/>
          <w:sz w:val="24"/>
          <w:szCs w:val="24"/>
        </w:rPr>
        <w:t>年</w:t>
      </w:r>
      <w:r>
        <w:rPr>
          <w:rFonts w:hint="eastAsia" w:eastAsia="宋体"/>
          <w:b/>
          <w:sz w:val="24"/>
          <w:szCs w:val="24"/>
          <w:lang w:val="en-US" w:eastAsia="zh-CN"/>
        </w:rPr>
        <w:t>8</w:t>
      </w:r>
      <w:r>
        <w:rPr>
          <w:rFonts w:eastAsia="宋体"/>
          <w:b/>
          <w:sz w:val="24"/>
          <w:szCs w:val="24"/>
        </w:rPr>
        <w:t>月</w:t>
      </w:r>
      <w:r>
        <w:rPr>
          <w:rFonts w:hint="eastAsia" w:eastAsia="宋体"/>
          <w:b/>
          <w:sz w:val="24"/>
          <w:szCs w:val="24"/>
          <w:lang w:val="en-US" w:eastAsia="zh-CN"/>
        </w:rPr>
        <w:t>29</w:t>
      </w:r>
      <w:r>
        <w:rPr>
          <w:rFonts w:eastAsia="宋体"/>
          <w:b/>
          <w:sz w:val="24"/>
          <w:szCs w:val="24"/>
        </w:rPr>
        <w:t>日</w:t>
      </w:r>
      <w:bookmarkStart w:id="9" w:name="_GoBack"/>
      <w:bookmarkEnd w:id="9"/>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中广核核技术发展股份有限公司2025年半年度报告摘要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compat>
    <w:doNotExpandShiftReturn/>
    <w:useFELayout/>
    <w:compatSetting w:name="compatibilityMode" w:uri="http://schemas.microsoft.com/office/word" w:val="14"/>
  </w:compat>
  <w:rsids>
    <w:rsidRoot w:val="00000000"/>
    <w:rsid w:val="11396C9A"/>
    <w:rsid w:val="12AC213B"/>
    <w:rsid w:val="29C72058"/>
    <w:rsid w:val="38DC6F9E"/>
    <w:rsid w:val="48927425"/>
    <w:rsid w:val="554A00D3"/>
    <w:rsid w:val="5D105183"/>
    <w:rsid w:val="67072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标准）"/>
    <w:basedOn w:val="1"/>
    <w:next w:val="1"/>
    <w:semiHidden/>
    <w:qFormat/>
    <w:uiPriority w:val="0"/>
    <w:pPr>
      <w:ind w:firstLine="525"/>
    </w:pPr>
    <w:rPr>
      <w:rFonts w:ascii="宋体" w:hAnsi="宋体"/>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3</TotalTime>
  <ScaleCrop>false</ScaleCrop>
  <LinksUpToDate>false</LinksUpToDate>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2025-08-20T07:28:00Z</dcterms:created>
  <dc:creator>P194919</dc:creator>
  <cp:lastModifiedBy>P194919</cp:lastModifiedBy>
  <dcterms:modified xsi:type="dcterms:W3CDTF">2025-08-21T06:49:51Z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C3DA72445C3441FA9430C3A310FEC090</vt:lpwstr>
  </property>
</Properties>
</file>